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rPr>
          <w:rFonts w:ascii="Calibri" w:hAnsi="Calibri" w:eastAsia="Arial" w:cs="Arial" w:asciiTheme="minorHAnsi" w:hAnsiTheme="minorHAnsi"/>
          <w:b/>
          <w:b/>
          <w:color w:val="00000A"/>
          <w:sz w:val="22"/>
          <w:szCs w:val="22"/>
          <w:highlight w:val="white"/>
        </w:rPr>
      </w:pPr>
      <w:r>
        <w:rPr>
          <w:rFonts w:eastAsia="Calibri" w:cs="Calibri" w:ascii="Calibri" w:hAnsi="Calibri"/>
          <w:color w:val="00000A"/>
          <w:shd w:fill="FFFFFF" w:val="clear"/>
        </w:rPr>
        <w:br/>
      </w:r>
      <w:r>
        <w:rPr>
          <w:rFonts w:eastAsia="Calibri" w:cs="Calibri" w:ascii="Calibri" w:hAnsi="Calibri" w:asciiTheme="minorHAnsi" w:hAnsiTheme="minorHAnsi"/>
          <w:b/>
          <w:color w:val="00000A"/>
          <w:sz w:val="22"/>
          <w:szCs w:val="22"/>
          <w:shd w:fill="FFFFFF" w:val="clear"/>
        </w:rPr>
        <w:t xml:space="preserve">                                                    </w:t>
      </w:r>
      <w:r>
        <w:rPr>
          <w:rFonts w:eastAsia="Arial" w:cs="Arial" w:ascii="Calibri" w:hAnsi="Calibri" w:asciiTheme="minorHAnsi" w:hAnsiTheme="minorHAnsi"/>
          <w:b/>
          <w:color w:val="00000A"/>
          <w:sz w:val="22"/>
          <w:szCs w:val="22"/>
          <w:shd w:fill="FFFFFF" w:val="clear"/>
        </w:rPr>
        <w:t xml:space="preserve">     UZASADNIENIE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b/>
          <w:b/>
          <w:strike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b/>
          <w:color w:val="00000A"/>
          <w:sz w:val="22"/>
          <w:szCs w:val="22"/>
          <w:shd w:fill="FFFFFF" w:val="clear"/>
        </w:rPr>
        <w:t xml:space="preserve">miejscowego planu zagospodarowania przestrzennego gminy Jaktorów fragmentu wsi </w:t>
      </w:r>
      <w:r>
        <w:rPr>
          <w:rFonts w:eastAsia="Arial" w:cs="Arial" w:ascii="Calibri" w:hAnsi="Calibri" w:asciiTheme="minorHAnsi" w:hAnsiTheme="minorHAnsi"/>
          <w:b/>
          <w:sz w:val="22"/>
          <w:szCs w:val="22"/>
          <w:shd w:fill="FFFFFF" w:val="clear"/>
        </w:rPr>
        <w:t xml:space="preserve">Budy Zosine, gmina Jaktorów obejmującego obszar ograniczony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zachodnią i północną granicą działki nr ewid. 700/15, północnymi granicami działek nr ewid. : 697/1, 697/2, 393/4, północną i wschodnią granicą działki nr ewid. 393/9, wschodnimi granicami działek nr ewid.: 393/15, 393/16, 393/17 wschodnią i południową granicą działki nr ewid. 393/18, południowymi granicami działek nr ewid.: 393/13, 393/8, 697/2, wschodnią (fragment), południową i zachodnią (fragment) granicą działki nr 697/1, południową i zachodnią granicą działki nr ewid. 700/13, zachodnimi granicami działek nr ewid. 700/12, 700/11</w:t>
      </w:r>
      <w:r>
        <w:rPr>
          <w:rFonts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sz w:val="22"/>
          <w:szCs w:val="22"/>
          <w:shd w:fill="FFFFFF" w:val="clear"/>
        </w:rPr>
      </w:pPr>
      <w:r>
        <w:rPr>
          <w:rFonts w:eastAsia="Arial" w:cs="Arial" w:ascii="Calibri" w:hAnsi="Calibri" w:asciiTheme="minorHAnsi" w:hAnsiTheme="minorHAnsi"/>
          <w:b/>
          <w:color w:val="00000A"/>
          <w:sz w:val="22"/>
          <w:szCs w:val="22"/>
          <w:shd w:fill="FFFFFF" w:val="clear"/>
        </w:rPr>
        <w:br/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Na podstawie Uchwały Nr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XXXII/250/2017 Rady Gminy Jaktorów z dnia 27 marca 2017r.w sprawie  przystąpienia do sporządzenia miejscowego planu zagospodarowania przestrzennego fragmentu wsi Budy Zosine, gmina Jaktorów, podjęto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 czynności zmierzające do opracowania projektu miejscowego planu zagospodarowania przestrzennego zgodnie z w.w Uchwałą. Cel opracowania miejscowego planu zawarty był w uzasadnieniach do uchwały w sprawie przystąpienia do jego sporządzenia w oparciu o analizę zasadności przystąpienia do sporządzenia planu. Na tym etapie określony został zakres prac planistycznych oraz dokonano analizy stopnia  zgodności przewidywanych rozwiązań w planie z ustaleniami studium.                                                                                                  </w:t>
        <w:br/>
        <w:t xml:space="preserve">Dla przedmiotowego obszaru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 xml:space="preserve">brak jest miejscowego planu zagospodarowania przestrzennego.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 xml:space="preserve">Na przedmiotowym obszarze zaistniała konieczność usankcjonowania istniejącego już zagospodarowania terenu. </w:t>
      </w:r>
      <w:r>
        <w:rPr>
          <w:rFonts w:eastAsia="Arial" w:cs="Arial" w:ascii="Calibri" w:hAnsi="Calibri" w:asciiTheme="minorHAnsi" w:hAnsiTheme="minorHAnsi"/>
          <w:strike/>
          <w:sz w:val="22"/>
          <w:szCs w:val="22"/>
          <w:shd w:fill="FFFFFF" w:val="clear"/>
        </w:rPr>
        <w:br/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Wójt Gminy Jaktorów sporządzając projekt planu ustosunkował się i spełnił wymagania wynikające z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przepisów ustawy z dnia 27 marca 2003ro planowaniu i zagospodarowaniu przestrzennym (Dz. U. z 2021r. poz. 741 z późn. zm).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  <w:u w:val="singl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br/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u w:val="single"/>
          <w:shd w:fill="FFFFFF" w:val="clear"/>
        </w:rPr>
        <w:t>I. Sposób realizacji wymogów wynikających z art. 1 ust. 2-4 przytoczonej ustawy.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eastAsia="Arial" w:cs="Arial" w:asciiTheme="minorHAnsi" w:hAnsiTheme="minorHAnsi"/>
          <w:color w:val="000000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Po podjęciu przez Radę Gminy Uchwały o przystąpieniu do sporządzenia omawianego planu, Wójt Gminy Jaktorów zawiadomił na piśmie o przystąpieniu do sporządzenia miejscowego planu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 instytucje i organy właściwe do jego uzgadniania i opiniowania oraz zamieścił w  prasie lokalnej z dnia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 xml:space="preserve">25.04.2017 roku, w BIP Urzędu  Gminy Jaktorów i  na tablicy informacyjnej w Urzędzie Gminy Jaktorów obwieszczenie o przystąpieniu do sporządzenia przedmiotowego planu oraz o przystąpieniu do  sporządzenia prognozy oddziaływania na środowisko planu. Uwagi i wnioski można było składać w okresie  21 dni od dnia ukazania się obwieszczenia.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Dokumentacja planu udostępniona była do wglądu publicznego  w trybie art. 39 ustawy z dnia 3 października 2008 r. o udostępnianiu informacji o środowisku i jego ochronie, udziale społeczeństwa w ochronie środowiska oraz o ocenach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oddziaływania na środowisko (Dz. U. z 2021 r. poz. 247 z późn. zm.). W wyżej wymienionym trybie i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 okresie nie wpłynęły wnioski i uwagi do dokumentacji planu.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Obszar objęty planem w Studium uwarunkowań i kierunków zagospodarowania przestrzennego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gminy Jaktorów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 – Uchwała Nr XXX/153/2001 Rady Gminy Jaktorów z dnia 8 cz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erwca 2001 roku,  zawiera się w obszarach o kierunkach rozwoju – tereny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rozwoju wielofunkcyjnego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 oraz tereny użytkowane rolniczo.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eastAsia="Arial" w:cs="Arial" w:asciiTheme="minorHAnsi" w:hAnsiTheme="minorHAnsi"/>
          <w:color w:val="000000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Wójt Gminy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ustalając przeznaczenie terenu w obszarze planu oraz określając potencjalny sposób zagospodarowania i korzystania z terenu, ważył interes publiczny i interesy prywatne, zmierzające do ochrony istniejącego stanu zagospodarowania terenów jak i zmian w zakresie ich  zagospodarowania, a także analizy ekonomiczne, środowiskowe i społeczne.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eastAsia="Arial" w:cs="Arial" w:asciiTheme="minorHAnsi" w:hAnsiTheme="minorHAnsi"/>
          <w:color w:val="FF0000"/>
          <w:sz w:val="22"/>
          <w:szCs w:val="22"/>
          <w:shd w:fill="FFFFFF" w:val="clear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W związku z powyższym (w tym m. inn. zapisami studium, wnioskami instytucji i organów właściwych do opiniowania i uzgadniania planów miejscowych, uwarunkowaniami  przyrodniczymi, kulturowymi, zabytkowymi, społecznymi, ekonomicznymi) w obszarze projektu planu wyznaczono tereny o przeznaczeniu: teren zabudowy mieszkaniowej jednorodzinnej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o symbolu literowym przeznaczenia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MN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; tereny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pod poszerzenie drogi</w:t>
      </w:r>
      <w:r>
        <w:rPr>
          <w:rFonts w:eastAsia="Arial" w:cs="Arial" w:ascii="Calibri" w:hAnsi="Calibri" w:asciiTheme="minorHAnsi" w:hAnsiTheme="minorHAnsi"/>
          <w:color w:val="FF0000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publicznej o symbolu literowym przeznaczenia KD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p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;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tereny dróg wewnętrznych o symbolu literowym KDW, tereny wód powierzchniowych o symbolu literowym WS.</w:t>
      </w:r>
      <w:r>
        <w:rPr>
          <w:rFonts w:eastAsia="Arial" w:cs="Arial" w:ascii="Calibri" w:hAnsi="Calibri" w:asciiTheme="minorHAnsi" w:hAnsiTheme="minorHAnsi"/>
          <w:color w:val="FF0000"/>
          <w:sz w:val="22"/>
          <w:szCs w:val="22"/>
          <w:shd w:fill="FFFFFF" w:val="clear"/>
        </w:rPr>
        <w:t xml:space="preserve">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Rozwiązania proponowane w planie, wynikające z potrzeb zapewnienia trwałości procesów przyrodniczych, wymagań ochrony środowiska w tym gospodarowania wodami, zachowania walorów krajobrazowych, wymagań dziedzictwa kulturowego i zabytków oraz dóbr kultury współczesnej, warunków ich ochrony oraz dostosowania funkcji i intensywności zagospodarowania przestrzennego do warunków przyrodniczych, krajobrazowych i kulturowych oparto o dane zawarte                 w opracowaniu ekofizjograficznym - podstawowym sporządzonym na potrzeby niniejszego planu. Z opracowania ekofizjograficznego - podstawowego wynika, że w granicach planu nie występują: obszary przyrodnicze objęte ochroną prawną w tym obszary Natura 2000,  tereny szczególnego zagrożenia powodzią, zasoby naturalne, strefy ochronne ujęć wód podziemnych, obszary ochronne zbiorników wód śródlądowych, grunty leśne, w związku z czym ustalenia planu nie odnoszą się do tej problematyki. W opracowaniu ekofizjograficznym - podstawowym nie stwierdzono również występowania elementów i składowych przyrody ożywionej i nieożywionej, typów siedlisk przyrodniczych oraz gatunków roślin i zwierząt wymagających ochrony, w tym w formie wyznaczenia obszarów Natura 2000, dlatego nie podporządkowano ustaleń planu tym wymogom.</w:t>
      </w:r>
      <w:r>
        <w:rPr>
          <w:rFonts w:eastAsia="Arial" w:cs="Arial" w:ascii="Calibri" w:hAnsi="Calibri" w:asciiTheme="minorHAnsi" w:hAnsiTheme="minorHAnsi"/>
          <w:b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Opracowanie ekofizjograficzne - podstawowe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nie</w:t>
      </w:r>
      <w:r>
        <w:rPr>
          <w:rFonts w:eastAsia="Arial" w:cs="Arial" w:ascii="Calibri" w:hAnsi="Calibri" w:asciiTheme="minorHAnsi" w:hAnsiTheme="minorHAnsi"/>
          <w:color w:val="FF0000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wykazało występowania obszarów chronionych na podstawie Ustawy o ochronie zabytków i opiece nad zabytkami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nie wykazało występowania dóbr kultury współczesnej w związku z tym ustalenia projektu planu nie uwzględniają wymogów wynikających z tego tytułu.</w:t>
      </w:r>
      <w:r>
        <w:rPr>
          <w:rFonts w:eastAsia="Arial" w:cs="Arial" w:ascii="Calibri" w:hAnsi="Calibri" w:asciiTheme="minorHAnsi" w:hAnsiTheme="minorHAnsi"/>
          <w:b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strike/>
          <w:color w:val="000000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Aktualnie brak audytu krajobrazowego dla województwa mazowieckiego, który określałby krajobrazy priorytetowe oraz w planie zagospodarowania przestrzennego województwa mazowieckiego brak określonych krajobrazów priorytetowych.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rPr>
          <w:rFonts w:ascii="Calibri" w:hAnsi="Calibri" w:eastAsia="Arial" w:cs="Arial" w:asciiTheme="minorHAnsi" w:hAnsiTheme="minorHAnsi"/>
          <w:b/>
          <w:b/>
          <w:strike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 xml:space="preserve">Plan w zakresie wymagań ochrony środowiska w tym gospodarowania wodami, ustala zasady wyposażenia w infrastrukturę techniczną, opartą  o zbiorcze systemy z możliwością realizacji indywidualnych rozwiązań zaopatrzenia w wodę i odprowadzenia ścieków.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0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Sporządzona równocześnie prognoza oddziaływania ustaleń planu na środowisko, akceptuje rozwiązania projektu planu w tym zakresie, nie precyzując uwag, ani rozwiązań alternatywnych do projektu planu.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Ustalone planem przeznaczenie terenu, warunki zabudowy i zagospodarowania są konsensusem pomiędzy ewentualnym zachowaniem i ochroną istniejącego stanu zagospodarowania, potrzebą ochrony środowiska szeroko pojętego, a potrzebą zmiany podyktowanej wykorzystaniem walorów ekonomicznych przestrzeni wynikających z sąsiedztwa gminnego układu komunikacyjnego. Projekt planu przewiduje rozbudowę sieci wodociągowej jak również możliwość indywidualnego zaopatrzenia w wodę dla zapewnienia odpowiedniej ilości i jakości wody do celów zaopatrzenia ludności.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strike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Teren objęty granicami projektu planu położony jest  w obszarze, w którym następuje systematyczna zabudowa. Projektowany teren zabudowy mieszkaniowej położony jest w obszarze dobrze skomunikowanym czyli w dostatecznym stopniu przygotowanym do nowej zabudowy.</w:t>
      </w:r>
      <w:r>
        <w:rPr>
          <w:rFonts w:eastAsia="Arial" w:cs="Arial" w:ascii="Calibri" w:hAnsi="Calibri" w:asciiTheme="minorHAnsi" w:hAnsiTheme="minorHAnsi"/>
          <w:strike/>
          <w:color w:val="00000A"/>
          <w:sz w:val="22"/>
          <w:szCs w:val="22"/>
          <w:shd w:fill="FFFFFF" w:val="clear"/>
        </w:rPr>
        <w:t xml:space="preserve">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 w:before="0" w:after="200"/>
        <w:ind w:right="-358" w:hanging="0"/>
        <w:jc w:val="both"/>
        <w:rPr>
          <w:rFonts w:ascii="Calibri" w:hAnsi="Calibri" w:eastAsia="Arial" w:cs="Arial" w:asciiTheme="minorHAnsi" w:hAnsiTheme="minorHAnsi"/>
          <w:strike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       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Ustalenia projektu planu  nie spowodują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wzrostu transportochłonności układu przestrzennego. W granicach projektu planu znajduje się fragment przeznaczony pod poszerzenie istniejącej drogi oraz krótkie odcinki dróg dojazdowych, praktycznie o funkcji tylko dojazdu i dojścia,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które są w stanie zapewnić obsługę komunikacyjną terenów zabudowy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. W zakresie potrzeb osób niepełnosprawnych projekt planu ustala wymóg zapewnienia miejsca przeznaczonego na parkowanie pojazdów zaopatrzonych w kartę parkingową stosownie do wskaźnika zapotrzebowania na miejsca postojowe dla samochodów wg. przepisów odrębnych.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Gmina Jaktorów nie obsługuje mieszkańców w zakresie komunikacji zbiorowej, jedyny taki transport niezależny od gminy, odbywa się po drodze wojewódzkiej.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color w:val="000000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Projekt planu ustala</w:t>
      </w:r>
      <w:r>
        <w:rPr>
          <w:rFonts w:eastAsia="Arial" w:cs="Arial" w:ascii="Calibri" w:hAnsi="Calibri" w:asciiTheme="minorHAnsi" w:hAnsiTheme="minorHAnsi"/>
          <w:color w:val="FF0000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zasady i warunki zabudowy i zagospodarowania terenu określając wskaźniki i parametry zabudowy w zakresie: wysokości budynków, parametry dachów, adekwatnie do otoczenia, korzystny maksymalny wskaźnik zabudowy dla większości terenów, minimalną powierzchnię biologicznie czynną, zasady sytuowania nowych budynków, ewentualnej rozbudowy istniejących budynków w stosunku do ulic, określone nieprzekraczalną linią zabudowy, warunki dopuszczonych działań w stosunku do istniejących budynków.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Zarówno przeznaczenie terenu jak i wymienione wskaźniki i parametry są wystarczające dla zapewnienia wymagań ładu przestrzennego w tym urbanistyki i architektury, w zakresie kształtowania czytelnego układu urbanistycznego nawiązującego do otoczenia, oraz przyszłych rozwiązań architektonicznych obiektów budowlanych, wpływając tym samym na kształtowanie krajobrazu tej części gminy, w tym walory architektoniczne i krajobrazowe. Rozwiązania przyjęte w projekcie planu są zgodne z zapisami studium, a założeniem studium przy określaniu polityki przestrzennej w zakresie struktury funkcjonalno - przestrzennej było zachowanie ukształtowanych struktur przestrzennych i uzupełnianie ich jednorodnymi bądź nie konfliktogennymi funkcjami, celem zachowania ładu przestrzennego. Ustalenia planu przestrzennego przyjmując tę politykę już z zasady przejmują ład przestrzenny.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Projekt planu określa zasady i potrzeby rozwoju infrastruktury technicznej, bez określania lokalizacji i warunków rozwoju sieci szerokopasmowej (z braku zapotrzebowania), natomiast nie wprowadza żadnych ograniczeń odnośnie rozwoju łączności publicznej. Przedmiotowy teren z racji położenia, wielkości nie jest istotny i  strategiczny w zakresie potrzeb obronności i bezpieczeństwa państwa.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>Projekt planu wraz z prognozą oddziaływania na środowisko w wersji omówionej poddany został procedurze uzgadniania i opiniowania zgodnie z przepisami art. 17 ustawy o planowaniu i zagospodarowaniu przestrzennym oraz przepisami art. 53 i art. 54 ustawy z dnia 3 października 2008 r. o udostępnianiu informacji  o środowisku i jego ochronie, udziale społeczeństwa w ochronie środowiska oraz o ocenach oddziaływania na środowisko.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shd w:fill="FFFFFF" w:val="clear"/>
        </w:rPr>
        <w:t xml:space="preserve">Uzyskano niezbędne opinie i uzgodnienia w związku z czym projekt planu został wyłożony do publicznego wglądu w terminie 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od 26 listopada 2018r do 17 grudnia 2018r zgodnie z obwieszczeniem w prasie lokalnej z dnia 13.11.2018r., w BIP Urzędu  Gminy Jaktorów i  na tablicy informacyjnej w Urzędzie Gminy. W dniu 10 grudnia 2018r odbyła się dyskusja publiczna nad przyjętymi w projekcie planu rozwiązaniami, a uwagi i</w:t>
      </w:r>
      <w:r>
        <w:rPr>
          <w:rFonts w:eastAsia="Arial" w:cs="Arial" w:ascii="Calibri" w:hAnsi="Calibri" w:asciiTheme="minorHAnsi" w:hAnsiTheme="minorHAnsi"/>
          <w:color w:val="FF0000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 xml:space="preserve">wnioski mogły być składane do 7 stycznia 2019r. W związku z tym, że na etapie wyłożenia zostały wniesione uwagi, które zostały częściowo uwzględnione, stwierdzono, że należy ponownie wyłożyć projekt do publicznego wglądu. Projekt planu został ponownie wyłożony do publicznego wglądu w terminie od 6 maja 2019r do dnia 27 maja 2019r, zgodnie z obwieszczeniem w prasie lokalnej z dnia 2 kwietnia 2019r., w BIP Urzędu  Gminy Jaktorów i  na tablicy informacyjnej w Urzędzie Gminy . W dniu 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1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3 maja 2019r odbyła się dyskusja publiczna nad przyjętymi w planie rozwiązaniami, a uwagi i wnioski mogły być składane do dnia 10 czerwca 2019r. W związku z tym, że na etapie drugiego wyłożenia zostały wniesione uwagi, stwierdzono, że należy ponownie wyłożyć projekt do publicznego wglądu.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Projekt planu został ponownie wyłożony do publicznego wglądu w terminie od 7 stycznia 2020r do dnia 28 stycznia 2020r, zgodnie z obwieszczeniem w prasie lokalnej z dnia 17 grudnia 2020r., w BIP Urzędu  Gminy Jaktorów i  na tablicy informacyjnej w Urzędzie Gminy. W dniu 13 stycznia odbyła się dyskusja publiczna nad przyjętymi w planie rozwiązaniami, a uwagi i wnioski mogły być składane do dnia 11 lutego 2020r. Do projektu planu zostały wniesione uwagi, które Zarządzeniem Wójta Gminy Jaktorów nr 9/2020 z dnia 21 lutego 2020r nie zostały uwzględnione.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shd w:fill="FFFFFF" w:val="clear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Postępowanie związane z procedurą zawiadomienia na etapie przystąpienia do sporządzenia planu, (możliwość składania wniosków i uwag itp.), wyłożenie projektu planu wraz z prognozą oddziaływania na środowisko do publicznego wglądu, niniejsze szczegółowe uzasadnienie poddane procedurze razem z projektem planu, zapewnia udział społeczeństwa w pracach nad planem, w tym przy użyciu środków komunikacji elektronicznej, zachowanie jawności i przejrzystości procedur planistycznych.  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shd w:fill="FFFFFF" w:val="clear"/>
        </w:rPr>
      </w:pPr>
      <w:r>
        <w:rPr>
          <w:rFonts w:eastAsia="Arial" w:cs="Arial" w:ascii="Calibri" w:hAnsi="Calibri"/>
          <w:color w:val="00000A"/>
          <w:sz w:val="22"/>
          <w:szCs w:val="22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  <w:u w:val="singl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u w:val="single"/>
          <w:shd w:fill="FFFFFF" w:val="clear"/>
        </w:rPr>
        <w:t xml:space="preserve">II. Zgodność z wynikami analizy, </w:t>
      </w:r>
      <w:r>
        <w:rPr>
          <w:rFonts w:eastAsia="Arial" w:cs="Arial" w:ascii="Calibri" w:hAnsi="Calibri" w:asciiTheme="minorHAnsi" w:hAnsiTheme="minorHAnsi"/>
          <w:color w:val="000000"/>
          <w:sz w:val="22"/>
          <w:szCs w:val="22"/>
          <w:u w:val="single"/>
          <w:shd w:fill="FFFFFF" w:val="clear"/>
        </w:rPr>
        <w:t>o której mowa w art. 32 ust.1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u w:val="single"/>
          <w:shd w:fill="FFFFFF" w:val="clear"/>
        </w:rPr>
        <w:t xml:space="preserve"> ustawy o planowaniu i zagospodarowaniu przestrzennym, wraz z datą uchwały rady gminy, o której mowa w art. 32 ust.2.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shd w:fill="FFFFFF" w:val="clear"/>
        </w:rPr>
      </w:pPr>
      <w:r>
        <w:rPr>
          <w:rFonts w:eastAsia="Arial" w:cs="Arial" w:ascii="Calibri" w:hAnsi="Calibri"/>
          <w:color w:val="00000A"/>
          <w:sz w:val="22"/>
          <w:szCs w:val="22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Wójt Gminy Jaktorów w celu oceny aktualności studium i planów miejscowych dokonał w 2006 roku analizy zmian w zagospodarowaniu przestrzennym gminy Jaktorów, ocenił postępy w opracowywaniu planów miejscowych. Wyniki przeprowadzonych analiz przedstawił Radzie Gminy Jaktorów. Rada Gminy Jaktorów Uchwałą Nr LII/381/2006 z dnia 23 października 2006 roku uznała studium uwarunkowań i kierunków zagospodarowania przestrzennego gminy Jaktorów za częściowo nieaktualne.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Wyżej wymieniona Uchwała stwierdza potrzebę dostosowania niektórych ustaleń </w:t>
      </w:r>
      <w:r>
        <w:rPr>
          <w:rFonts w:eastAsia="Arial" w:cs="Arial" w:ascii="Calibri" w:hAnsi="Calibri" w:asciiTheme="minorHAnsi" w:hAnsiTheme="minorHAnsi"/>
          <w:strike/>
          <w:color w:val="00000A"/>
          <w:sz w:val="22"/>
          <w:szCs w:val="22"/>
          <w:shd w:fill="FFFFFF" w:val="clear"/>
        </w:rPr>
        <w:t xml:space="preserve"> 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studium uwarunkowań i kierunków zagospodarowania przestrzennego gminy Jaktorów do aktualnych potrzeb w tym wymagań art. 10 ustawy o planowaniu i zagospodarowaniu przestrzennym, które zostały wprowadzone zmianami przytoczonej Ustawy. Przedmiotowy plan nie narusza ustaleń aktualnego studium  i może być realizowany w myśl przyjętych w nim kierunków rozwoju. W związku  z czym należy uznać, że sporządzenie projektu planu jest zgodne z wymienioną Uchwałą i wynikami analiz. Zarówno wynik analiz jak i Uchwała nie ograniczają możliwości sporządzania na bieżąco miejscowych planów zagospodarowania przestrzennego stosownie do potrzeb.</w:t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u w:val="single"/>
          <w:shd w:fill="FFFFFF" w:val="clear"/>
        </w:rPr>
      </w:pPr>
      <w:r>
        <w:rPr>
          <w:rFonts w:eastAsia="Arial" w:cs="Arial" w:ascii="Calibri" w:hAnsi="Calibri"/>
          <w:color w:val="00000A"/>
          <w:sz w:val="22"/>
          <w:szCs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u w:val="single"/>
          <w:shd w:fill="FFFFFF" w:val="clear"/>
        </w:rPr>
      </w:pPr>
      <w:r>
        <w:rPr>
          <w:rFonts w:eastAsia="Arial" w:cs="Arial" w:ascii="Calibri" w:hAnsi="Calibri"/>
          <w:color w:val="00000A"/>
          <w:sz w:val="22"/>
          <w:szCs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highlight w:val="white"/>
          <w:u w:val="singl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u w:val="single"/>
          <w:shd w:fill="FFFFFF" w:val="clear"/>
        </w:rPr>
        <w:t>III. Wpływ na finanse publiczne, w tym budżet gminy.</w:t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jc w:val="both"/>
        <w:rPr>
          <w:rFonts w:ascii="Calibri" w:hAnsi="Calibri" w:eastAsia="Arial" w:cs="Arial" w:asciiTheme="minorHAnsi" w:hAnsiTheme="minorHAnsi"/>
          <w:color w:val="00000A"/>
          <w:sz w:val="22"/>
          <w:szCs w:val="22"/>
          <w:u w:val="single"/>
          <w:shd w:fill="FFFFFF" w:val="clear"/>
        </w:rPr>
      </w:pPr>
      <w:r>
        <w:rPr>
          <w:rFonts w:eastAsia="Arial" w:cs="Arial" w:ascii="Calibri" w:hAnsi="Calibri"/>
          <w:color w:val="00000A"/>
          <w:sz w:val="22"/>
          <w:szCs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rPr>
          <w:rFonts w:ascii="Calibri" w:hAnsi="Calibri" w:eastAsia="Arial" w:cs="Arial" w:asciiTheme="minorHAnsi" w:hAnsiTheme="minorHAnsi"/>
          <w:strike/>
          <w:color w:val="00000A"/>
          <w:sz w:val="22"/>
          <w:szCs w:val="22"/>
          <w:highlight w:val="white"/>
        </w:rPr>
      </w:pP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>Do projektu planu Wójt Gminy Jaktorów sporządził prognozę skutków finansowych uchwalenia planu miejscowego. Z prognozy wynika, że uchwalenie planu częściowo generuje obciążenia finansowe dla  gminy. Są to koszty związane z realizacją projektowan</w:t>
      </w:r>
      <w:r>
        <w:rPr>
          <w:rFonts w:eastAsia="Arial" w:cs="Arial" w:ascii="Calibri" w:hAnsi="Calibri" w:asciiTheme="minorHAnsi" w:hAnsiTheme="minorHAnsi"/>
          <w:sz w:val="22"/>
          <w:szCs w:val="22"/>
          <w:shd w:fill="FFFFFF" w:val="clear"/>
        </w:rPr>
        <w:t>ych</w:t>
      </w:r>
      <w:r>
        <w:rPr>
          <w:rFonts w:eastAsia="Arial" w:cs="Arial" w:ascii="Calibri" w:hAnsi="Calibri" w:asciiTheme="minorHAnsi" w:hAnsiTheme="minorHAnsi"/>
          <w:color w:val="00000A"/>
          <w:sz w:val="22"/>
          <w:szCs w:val="22"/>
          <w:shd w:fill="FFFFFF" w:val="clear"/>
        </w:rPr>
        <w:t xml:space="preserve"> terenów oznaczonych jako 1KDp oraz z procesem planistycznym związanym  z ogłoszeniami, opiniowaniem, uzgadnianiem, opracowaniem niezbędnej dokumentacji planu. </w:t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jc w:val="both"/>
        <w:rPr>
          <w:rFonts w:ascii="Calibri" w:hAnsi="Calibri" w:eastAsia="Calibri" w:cs="Calibri" w:asciiTheme="minorHAnsi" w:hAnsiTheme="minorHAnsi"/>
          <w:color w:val="00000A"/>
          <w:sz w:val="22"/>
          <w:szCs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z w:val="22"/>
          <w:szCs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360"/>
        <w:ind w:right="-358" w:hanging="0"/>
        <w:jc w:val="both"/>
        <w:rPr>
          <w:rFonts w:ascii="Calibri" w:hAnsi="Calibri" w:eastAsia="Calibri" w:cs="Calibri" w:asciiTheme="minorHAnsi" w:hAnsiTheme="minorHAnsi"/>
          <w:color w:val="00000A"/>
          <w:sz w:val="22"/>
          <w:szCs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z w:val="22"/>
          <w:szCs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rPr>
          <w:rFonts w:ascii="Arial" w:hAnsi="Arial" w:eastAsia="Arial" w:cs="Arial"/>
          <w:color w:val="00000A"/>
          <w:sz w:val="22"/>
          <w:u w:val="single"/>
          <w:shd w:fill="FFFFFF" w:val="clear"/>
        </w:rPr>
      </w:pPr>
      <w:r>
        <w:rPr>
          <w:rFonts w:eastAsia="Arial" w:cs="Arial" w:ascii="Arial" w:hAnsi="Arial"/>
          <w:color w:val="00000A"/>
          <w:sz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rPr>
          <w:rFonts w:ascii="Arial" w:hAnsi="Arial" w:eastAsia="Arial" w:cs="Arial"/>
          <w:color w:val="00000A"/>
          <w:sz w:val="22"/>
          <w:u w:val="single"/>
          <w:shd w:fill="FFFFFF" w:val="clear"/>
        </w:rPr>
      </w:pPr>
      <w:r>
        <w:rPr>
          <w:rFonts w:eastAsia="Arial" w:cs="Arial" w:ascii="Arial" w:hAnsi="Arial"/>
          <w:color w:val="00000A"/>
          <w:sz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rPr>
          <w:rFonts w:ascii="Arial" w:hAnsi="Arial" w:eastAsia="Arial" w:cs="Arial"/>
          <w:color w:val="00000A"/>
          <w:sz w:val="22"/>
          <w:u w:val="single"/>
          <w:shd w:fill="FFFFFF" w:val="clear"/>
        </w:rPr>
      </w:pPr>
      <w:r>
        <w:rPr>
          <w:rFonts w:eastAsia="Arial" w:cs="Arial" w:ascii="Arial" w:hAnsi="Arial"/>
          <w:color w:val="00000A"/>
          <w:sz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rPr>
          <w:rFonts w:ascii="Arial" w:hAnsi="Arial" w:eastAsia="Arial" w:cs="Arial"/>
          <w:color w:val="00000A"/>
          <w:sz w:val="22"/>
          <w:u w:val="single"/>
          <w:shd w:fill="FFFFFF" w:val="clear"/>
        </w:rPr>
      </w:pPr>
      <w:r>
        <w:rPr>
          <w:rFonts w:eastAsia="Arial" w:cs="Arial" w:ascii="Arial" w:hAnsi="Arial"/>
          <w:color w:val="00000A"/>
          <w:sz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40"/>
        <w:ind w:right="-358" w:hanging="0"/>
        <w:rPr>
          <w:rFonts w:ascii="Arial" w:hAnsi="Arial" w:eastAsia="Arial" w:cs="Arial"/>
          <w:color w:val="00000A"/>
          <w:sz w:val="22"/>
          <w:u w:val="single"/>
          <w:shd w:fill="FFFFFF" w:val="clear"/>
        </w:rPr>
      </w:pPr>
      <w:r>
        <w:rPr>
          <w:rFonts w:eastAsia="Arial" w:cs="Arial" w:ascii="Arial" w:hAnsi="Arial"/>
          <w:color w:val="00000A"/>
          <w:sz w:val="22"/>
          <w:u w:val="single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76" w:before="0" w:after="200"/>
        <w:ind w:right="-358" w:hanging="0"/>
        <w:rPr>
          <w:rFonts w:ascii="Calibri" w:hAnsi="Calibri" w:eastAsia="Calibri" w:cs="Calibri"/>
          <w:color w:val="00000A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z w:val="22"/>
          <w:shd w:fill="FFFFFF" w:val="clear"/>
        </w:rPr>
      </w:r>
    </w:p>
    <w:p>
      <w:pPr>
        <w:pStyle w:val="Normal"/>
        <w:tabs>
          <w:tab w:val="clear" w:pos="709"/>
          <w:tab w:val="left" w:pos="8662" w:leader="none"/>
        </w:tabs>
        <w:spacing w:lineRule="exact" w:line="276" w:before="0" w:after="200"/>
        <w:ind w:right="-358" w:hanging="0"/>
        <w:rPr>
          <w:rFonts w:ascii="Calibri" w:hAnsi="Calibri" w:eastAsia="Calibri" w:cs="Calibri"/>
          <w:color w:val="00000A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br/>
      </w:r>
    </w:p>
    <w:p>
      <w:pPr>
        <w:pStyle w:val="Normal"/>
        <w:tabs>
          <w:tab w:val="clear" w:pos="709"/>
          <w:tab w:val="left" w:pos="8662" w:leader="none"/>
        </w:tabs>
        <w:spacing w:lineRule="exact" w:line="276" w:before="0" w:after="200"/>
        <w:ind w:right="-358" w:hanging="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901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e7901"/>
    <w:pPr>
      <w:spacing w:lineRule="auto" w:line="288" w:before="0" w:after="140"/>
    </w:pPr>
    <w:rPr/>
  </w:style>
  <w:style w:type="paragraph" w:styleId="Lista">
    <w:name w:val="List"/>
    <w:basedOn w:val="Tretekstu"/>
    <w:rsid w:val="000e7901"/>
    <w:pPr/>
    <w:rPr/>
  </w:style>
  <w:style w:type="paragraph" w:styleId="Podpis" w:customStyle="1">
    <w:name w:val="Caption"/>
    <w:basedOn w:val="Normal"/>
    <w:qFormat/>
    <w:rsid w:val="000e7901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e7901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e790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Application>LibreOffice/7.1.0.3$Windows_x86 LibreOffice_project/f6099ecf3d29644b5008cc8f48f42f4a40986e4c</Application>
  <AppVersion>15.0000</AppVersion>
  <Pages>6</Pages>
  <Words>1835</Words>
  <Characters>12223</Characters>
  <CharactersWithSpaces>14260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2017-07-24T07:05:00Z</dcterms:created>
  <dc:creator/>
  <dc:description/>
  <dc:language>pl-PL</dc:language>
  <cp:lastModifiedBy/>
  <cp:lastPrinted>2022-01-04T08:37:35Z</cp:lastPrinted>
  <dcterms:modified xsi:type="dcterms:W3CDTF">2022-01-04T08:37:38Z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